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C35CF5" w:rsidRPr="00C35CF5" w14:paraId="4613505C" w14:textId="77777777" w:rsidTr="00C35CF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75173FF" w14:textId="77777777" w:rsidR="00C35CF5" w:rsidRPr="00C35CF5" w:rsidRDefault="00C35CF5" w:rsidP="00C35CF5">
            <w:pPr>
              <w:rPr>
                <w:rFonts w:ascii="Tahoma" w:hAnsi="Tahoma" w:cs="Tahoma"/>
                <w:sz w:val="20"/>
                <w:szCs w:val="20"/>
              </w:rPr>
            </w:pPr>
            <w:r w:rsidRPr="00C35CF5">
              <w:rPr>
                <w:rFonts w:ascii="Tahoma" w:hAnsi="Tahoma" w:cs="Tahoma"/>
                <w:sz w:val="20"/>
                <w:szCs w:val="20"/>
              </w:rPr>
              <w:t>31 Ağustos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ADBF0F4" w14:textId="77777777" w:rsidR="00C35CF5" w:rsidRPr="00C35CF5" w:rsidRDefault="00C35CF5" w:rsidP="00C35CF5">
            <w:pPr>
              <w:rPr>
                <w:rFonts w:ascii="Tahoma" w:hAnsi="Tahoma" w:cs="Tahoma"/>
                <w:sz w:val="20"/>
                <w:szCs w:val="20"/>
              </w:rPr>
            </w:pPr>
            <w:r w:rsidRPr="00C35CF5">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2B78919" w14:textId="77777777" w:rsidR="00C35CF5" w:rsidRPr="00C35CF5" w:rsidRDefault="00C35CF5" w:rsidP="00C35CF5">
            <w:pPr>
              <w:rPr>
                <w:rFonts w:ascii="Tahoma" w:hAnsi="Tahoma" w:cs="Tahoma"/>
                <w:sz w:val="20"/>
                <w:szCs w:val="20"/>
              </w:rPr>
            </w:pPr>
            <w:proofErr w:type="gramStart"/>
            <w:r w:rsidRPr="00C35CF5">
              <w:rPr>
                <w:rFonts w:ascii="Tahoma" w:hAnsi="Tahoma" w:cs="Tahoma"/>
                <w:sz w:val="20"/>
                <w:szCs w:val="20"/>
              </w:rPr>
              <w:t>Sayı :</w:t>
            </w:r>
            <w:proofErr w:type="gramEnd"/>
            <w:r w:rsidRPr="00C35CF5">
              <w:rPr>
                <w:rFonts w:ascii="Tahoma" w:hAnsi="Tahoma" w:cs="Tahoma"/>
                <w:sz w:val="20"/>
                <w:szCs w:val="20"/>
              </w:rPr>
              <w:t xml:space="preserve"> 32648</w:t>
            </w:r>
          </w:p>
        </w:tc>
      </w:tr>
      <w:tr w:rsidR="00C35CF5" w:rsidRPr="00C35CF5" w14:paraId="5EABA8F6" w14:textId="77777777" w:rsidTr="00C35CF5">
        <w:trPr>
          <w:trHeight w:val="480"/>
        </w:trPr>
        <w:tc>
          <w:tcPr>
            <w:tcW w:w="8789" w:type="dxa"/>
            <w:gridSpan w:val="3"/>
            <w:tcMar>
              <w:top w:w="0" w:type="dxa"/>
              <w:left w:w="108" w:type="dxa"/>
              <w:bottom w:w="0" w:type="dxa"/>
              <w:right w:w="108" w:type="dxa"/>
            </w:tcMar>
            <w:vAlign w:val="center"/>
            <w:hideMark/>
          </w:tcPr>
          <w:p w14:paraId="6DFEAFD0" w14:textId="77777777" w:rsidR="00C35CF5" w:rsidRPr="00C35CF5" w:rsidRDefault="00C35CF5" w:rsidP="00C35CF5">
            <w:pPr>
              <w:jc w:val="center"/>
              <w:rPr>
                <w:rFonts w:ascii="Tahoma" w:hAnsi="Tahoma" w:cs="Tahoma"/>
                <w:sz w:val="20"/>
                <w:szCs w:val="20"/>
              </w:rPr>
            </w:pPr>
            <w:r w:rsidRPr="00C35CF5">
              <w:rPr>
                <w:rFonts w:ascii="Tahoma" w:hAnsi="Tahoma" w:cs="Tahoma"/>
                <w:b/>
                <w:bCs/>
                <w:sz w:val="20"/>
                <w:szCs w:val="20"/>
              </w:rPr>
              <w:t>TEBLİĞ</w:t>
            </w:r>
          </w:p>
        </w:tc>
      </w:tr>
      <w:tr w:rsidR="00C35CF5" w:rsidRPr="00C35CF5" w14:paraId="49C21D4F" w14:textId="77777777" w:rsidTr="00C35CF5">
        <w:trPr>
          <w:trHeight w:val="480"/>
        </w:trPr>
        <w:tc>
          <w:tcPr>
            <w:tcW w:w="8789" w:type="dxa"/>
            <w:gridSpan w:val="3"/>
            <w:tcMar>
              <w:top w:w="0" w:type="dxa"/>
              <w:left w:w="108" w:type="dxa"/>
              <w:bottom w:w="0" w:type="dxa"/>
              <w:right w:w="108" w:type="dxa"/>
            </w:tcMar>
            <w:vAlign w:val="center"/>
            <w:hideMark/>
          </w:tcPr>
          <w:p w14:paraId="7A7DBC81" w14:textId="77777777" w:rsidR="00C35CF5" w:rsidRPr="00C35CF5" w:rsidRDefault="00C35CF5" w:rsidP="00C35CF5">
            <w:pPr>
              <w:jc w:val="center"/>
              <w:rPr>
                <w:rFonts w:ascii="Tahoma" w:hAnsi="Tahoma" w:cs="Tahoma"/>
                <w:sz w:val="20"/>
                <w:szCs w:val="20"/>
                <w:u w:val="single"/>
              </w:rPr>
            </w:pPr>
            <w:r w:rsidRPr="00C35CF5">
              <w:rPr>
                <w:rFonts w:ascii="Tahoma" w:hAnsi="Tahoma" w:cs="Tahoma"/>
                <w:sz w:val="20"/>
                <w:szCs w:val="20"/>
                <w:u w:val="single"/>
              </w:rPr>
              <w:t>Hazine ve Maliye Bakanlığı (Gelir İdaresi Başkanlığı)’</w:t>
            </w:r>
            <w:proofErr w:type="spellStart"/>
            <w:r w:rsidRPr="00C35CF5">
              <w:rPr>
                <w:rFonts w:ascii="Tahoma" w:hAnsi="Tahoma" w:cs="Tahoma"/>
                <w:sz w:val="20"/>
                <w:szCs w:val="20"/>
                <w:u w:val="single"/>
              </w:rPr>
              <w:t>ndan</w:t>
            </w:r>
            <w:proofErr w:type="spellEnd"/>
            <w:r w:rsidRPr="00C35CF5">
              <w:rPr>
                <w:rFonts w:ascii="Tahoma" w:hAnsi="Tahoma" w:cs="Tahoma"/>
                <w:sz w:val="20"/>
                <w:szCs w:val="20"/>
                <w:u w:val="single"/>
              </w:rPr>
              <w:t>:</w:t>
            </w:r>
          </w:p>
          <w:p w14:paraId="44B5AA95" w14:textId="77777777" w:rsidR="00C35CF5" w:rsidRPr="00C35CF5" w:rsidRDefault="00C35CF5" w:rsidP="00C35CF5">
            <w:pPr>
              <w:jc w:val="center"/>
              <w:rPr>
                <w:rFonts w:ascii="Tahoma" w:hAnsi="Tahoma" w:cs="Tahoma"/>
                <w:b/>
                <w:bCs/>
                <w:sz w:val="20"/>
                <w:szCs w:val="20"/>
              </w:rPr>
            </w:pPr>
            <w:r w:rsidRPr="00C35CF5">
              <w:rPr>
                <w:rFonts w:ascii="Tahoma" w:hAnsi="Tahoma" w:cs="Tahoma"/>
                <w:b/>
                <w:bCs/>
                <w:sz w:val="20"/>
                <w:szCs w:val="20"/>
              </w:rPr>
              <w:t>VERGİ USUL KANUNU GENEL TEBLİĞİ</w:t>
            </w:r>
          </w:p>
          <w:p w14:paraId="085DEA94" w14:textId="77777777" w:rsidR="00C35CF5" w:rsidRPr="00C35CF5" w:rsidRDefault="00C35CF5" w:rsidP="00C35CF5">
            <w:pPr>
              <w:jc w:val="center"/>
              <w:rPr>
                <w:rFonts w:ascii="Tahoma" w:hAnsi="Tahoma" w:cs="Tahoma"/>
                <w:b/>
                <w:bCs/>
                <w:sz w:val="20"/>
                <w:szCs w:val="20"/>
              </w:rPr>
            </w:pPr>
            <w:r w:rsidRPr="00C35CF5">
              <w:rPr>
                <w:rFonts w:ascii="Tahoma" w:hAnsi="Tahoma" w:cs="Tahoma"/>
                <w:b/>
                <w:bCs/>
                <w:sz w:val="20"/>
                <w:szCs w:val="20"/>
              </w:rPr>
              <w:t>(SIRA NO: 563)</w:t>
            </w:r>
          </w:p>
          <w:p w14:paraId="1FFA4678" w14:textId="20B03807" w:rsidR="00C35CF5" w:rsidRPr="00C35CF5" w:rsidRDefault="00C35CF5" w:rsidP="00C35CF5">
            <w:pPr>
              <w:jc w:val="both"/>
              <w:rPr>
                <w:rFonts w:ascii="Tahoma" w:hAnsi="Tahoma" w:cs="Tahoma"/>
                <w:sz w:val="20"/>
                <w:szCs w:val="20"/>
              </w:rPr>
            </w:pPr>
            <w:r w:rsidRPr="00C35CF5">
              <w:rPr>
                <w:rFonts w:ascii="Tahoma" w:hAnsi="Tahoma" w:cs="Tahoma"/>
                <w:sz w:val="20"/>
                <w:szCs w:val="20"/>
              </w:rPr>
              <w:t> </w:t>
            </w:r>
            <w:r w:rsidRPr="00C35CF5">
              <w:rPr>
                <w:rFonts w:ascii="Tahoma" w:hAnsi="Tahoma" w:cs="Tahoma"/>
                <w:b/>
                <w:bCs/>
                <w:sz w:val="20"/>
                <w:szCs w:val="20"/>
              </w:rPr>
              <w:t>Amaç ve kapsam</w:t>
            </w:r>
          </w:p>
          <w:p w14:paraId="5F6E1CD8"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MADDE 1- </w:t>
            </w:r>
            <w:r w:rsidRPr="00C35CF5">
              <w:rPr>
                <w:rFonts w:ascii="Tahoma" w:hAnsi="Tahoma" w:cs="Tahoma"/>
                <w:sz w:val="20"/>
                <w:szCs w:val="20"/>
              </w:rPr>
              <w:t>(1) 4/1/1961 tarihli ve 213 sayılı Vergi Usul Kanununun mükerrer 298 inci maddesinin (A) fıkrası ile geçici 33 üncü maddesi uyarınca, 2023 hesap dönemi sonunda ve düzeltme şartlarının gerçekleşmesine/varlığına bağlı olarak (geçici vergi dönemleri dâhil) izleyen hesap dönemlerinde enflasyon düzeltmesine tabi tutulacak mali tablolar ve yapılacak düzeltme işlemlerinin usul ve esasları 30/12/2023 tarihli ve 32415 ikinci mükerrer sayılı Resmî Gazete’de yayımlanan Vergi Usul Kanunu Genel Tebliği (Sıra No: 555) ile belirlenmiş, 30/4/2024 tarihli ve 32532 sayılı Resmî Gazete’de yayımlanan Vergi Usul Kanunu Genel Tebliği (Sıra No: 560) ile mezkûr mevzuat uyarınca kapsam dâhilinde olan mükelleflerce 2024 hesap döneminin birinci geçici vergi döneminin sonu itibarıyla, enflasyon düzeltmesi yapılmamasına ilişkin açıklamalar yapılmıştır.</w:t>
            </w:r>
          </w:p>
          <w:p w14:paraId="1E556D9A"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(2) Mezkûr mevzuat uyarınca, enflasyon düzeltmesi kapsamı dâhilinde olup 31/12/2023 tarihli gelir tablosundaki brüt satışlar toplamı 50.000.000 TL’nin altında olan mükelleflerin 2024 hesap döneminin ikinci ve üçüncü geçici vergi dönemleri sonu itibarıyla enflasyon düzeltmesi yapmamaları bu Tebliğin amacını ve kapsamını oluşturmaktadır.</w:t>
            </w:r>
          </w:p>
          <w:p w14:paraId="4E5A6C56"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Yasal dayanak</w:t>
            </w:r>
          </w:p>
          <w:p w14:paraId="7DFAEC57"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MADDE 2- </w:t>
            </w:r>
            <w:r w:rsidRPr="00C35CF5">
              <w:rPr>
                <w:rFonts w:ascii="Tahoma" w:hAnsi="Tahoma" w:cs="Tahoma"/>
                <w:sz w:val="20"/>
                <w:szCs w:val="20"/>
              </w:rPr>
              <w:t>(1) 213 sayılı Kanunun mükerrer 298 inci maddesinde, “A) Malî tablolarda yer alan parasal olmayan kıymetler aşağıdaki hükümlere göre enflasyon düzeltmesine tâbi tutulur.</w:t>
            </w:r>
          </w:p>
          <w:p w14:paraId="1E49C24A"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 xml:space="preserve">1. Kazançlarını bilanço esasına göre tespit eden gelir ve kurumlar vergisi mükellefleri fiyat endeksindeki artışın, içinde bulunulan dönem dahil son üç hesap döneminde %100'den ve içinde bulunulan hesap döneminde </w:t>
            </w:r>
            <w:proofErr w:type="gramStart"/>
            <w:r w:rsidRPr="00C35CF5">
              <w:rPr>
                <w:rFonts w:ascii="Tahoma" w:hAnsi="Tahoma" w:cs="Tahoma"/>
                <w:sz w:val="20"/>
                <w:szCs w:val="20"/>
              </w:rPr>
              <w:t>% 10</w:t>
            </w:r>
            <w:proofErr w:type="gramEnd"/>
            <w:r w:rsidRPr="00C35CF5">
              <w:rPr>
                <w:rFonts w:ascii="Tahoma" w:hAnsi="Tahoma" w:cs="Tahoma"/>
                <w:sz w:val="20"/>
                <w:szCs w:val="20"/>
              </w:rPr>
              <w:t>'dan fazla olması halinde malî tablolarını enflasyon düzeltmesine tâbi tutarlar. Enflasyon düzeltmesi uygulaması, her iki şartın birlikte gerçekleşmemesi halinde sona erer.</w:t>
            </w:r>
          </w:p>
          <w:p w14:paraId="0EAF4DF4"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dahil önceki </w:t>
            </w:r>
            <w:proofErr w:type="spellStart"/>
            <w:r w:rsidRPr="00C35CF5">
              <w:rPr>
                <w:rFonts w:ascii="Tahoma" w:hAnsi="Tahoma" w:cs="Tahoma"/>
                <w:sz w:val="20"/>
                <w:szCs w:val="20"/>
              </w:rPr>
              <w:t>otuzaltı</w:t>
            </w:r>
            <w:proofErr w:type="spellEnd"/>
            <w:r w:rsidRPr="00C35CF5">
              <w:rPr>
                <w:rFonts w:ascii="Tahoma" w:hAnsi="Tahoma" w:cs="Tahoma"/>
                <w:sz w:val="20"/>
                <w:szCs w:val="20"/>
              </w:rPr>
              <w:t> ay ve içinde bulunulan hesap dönemi yerine son </w:t>
            </w:r>
            <w:proofErr w:type="spellStart"/>
            <w:r w:rsidRPr="00C35CF5">
              <w:rPr>
                <w:rFonts w:ascii="Tahoma" w:hAnsi="Tahoma" w:cs="Tahoma"/>
                <w:sz w:val="20"/>
                <w:szCs w:val="20"/>
              </w:rPr>
              <w:t>oniki</w:t>
            </w:r>
            <w:proofErr w:type="spellEnd"/>
            <w:r w:rsidRPr="00C35CF5">
              <w:rPr>
                <w:rFonts w:ascii="Tahoma" w:hAnsi="Tahoma" w:cs="Tahoma"/>
                <w:sz w:val="20"/>
                <w:szCs w:val="20"/>
              </w:rPr>
              <w:t> ay dikkate alınır. Bir hesap dönemi içindeki geçici vergi dönemlerinin herhangi birinde düzeltme yapılması halinde takip eden geçici vergi dönemlerinde ve içinde bulunulan hesap dönemi sonunda da düzeltme yapılır.</w:t>
            </w:r>
          </w:p>
          <w:p w14:paraId="764E3E89"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w:t>
            </w:r>
          </w:p>
          <w:p w14:paraId="32C2171D"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8. Maliye Bakanlığı;</w:t>
            </w:r>
          </w:p>
          <w:p w14:paraId="5AFD8B6D"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w:t>
            </w:r>
          </w:p>
          <w:p w14:paraId="4BDAB0E9"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b) Mükellef veya meslek grupları ya da mükelleflerin aktif toplamları veya ciroları itibarıyla hangi tür malî tabloların; enflasyon düzeltmesine tâbi tutulup tutulmayacağını ve geçici vergi dönemlerinde düzeltilip düzeltilmeyeceğini belirlemeye,</w:t>
            </w:r>
          </w:p>
          <w:p w14:paraId="1FC1AC18"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w:t>
            </w:r>
          </w:p>
          <w:p w14:paraId="63F3D934"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lastRenderedPageBreak/>
              <w:t>Yetkilidir.</w:t>
            </w:r>
          </w:p>
          <w:p w14:paraId="1CE07A7B"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9. Münhasıran sürekli olarak işlenmiş; altın, gümüş alım-satımı ve imali ile iştigal eden mükellefler bu fıkranın (1) numaralı bendinde yer alan şartlara bakılmaksızın enflasyon düzeltmesi yaparlar.</w:t>
            </w:r>
          </w:p>
          <w:p w14:paraId="6AC78B4F"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 hükümleri yer almaktadır.</w:t>
            </w:r>
          </w:p>
          <w:p w14:paraId="0438529C"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2024 hesap dönemi ikinci ve üçüncü geçici vergi dönemlerinde 213 sayılı Kanunun mükerrer 298 inci maddesine göre enflasyon düzeltmesi uygulaması</w:t>
            </w:r>
          </w:p>
          <w:p w14:paraId="7FC5D65A"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MADDE 3- </w:t>
            </w:r>
            <w:r w:rsidRPr="00C35CF5">
              <w:rPr>
                <w:rFonts w:ascii="Tahoma" w:hAnsi="Tahoma" w:cs="Tahoma"/>
                <w:sz w:val="20"/>
                <w:szCs w:val="20"/>
              </w:rPr>
              <w:t>(1) 213 sayılı Kanunun mükerrer 298 inci maddesinin (A) fıkrasının (8) numaralı bendinin (b) alt bendinde yer alan yetkiye dayanılarak, 2024 hesap döneminin ikinci ve üçüncü geçici vergi dönemlerinde (213 sayılı Kanunun 174 üncü maddesi kapsamında kendilerine özel hesap dönemi tayin edilenlerde Vergi Usul Kanunu Genel Tebliği (Sıra No: 555)’ne göre karşılık gelen ilgili dönemde), enflasyon düzeltmesi yapma yükümlülüğü bulunan mükelleflerden, 31/12/2023 tarihli gelir tablosundaki brüt satışlar toplamı 50.000.000 TL’nin altında olanların (213 sayılı Kanunun mükerrer 298 inci maddesinin (A) fıkrasının (9) uncu bendi kapsamındaki mükellefler hariç) enflasyon düzeltmesi yapmaması uygun bulunmuştur. Özel hesap dönemine tabi olan mükelleflerde ise 2024 takvim yılında sona eren hesap dönemine ilişkin gelir tablosundaki brüt satışlar toplamı bu fıkra kapsamındaki uygulamada dikkate alınacaktır.</w:t>
            </w:r>
          </w:p>
          <w:p w14:paraId="63BD36ED"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(2) Bu mükellefler tarafından 2024 hesap döneminin ikinci ve üçüncü geçici vergi dönemlerine ilişkin beyannamelerin ekine dönem sonu bilançoları eklenmeyecektir.</w:t>
            </w:r>
          </w:p>
          <w:p w14:paraId="6CF1023A"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(3) 213 sayılı Kanunun mükerrer 298 inci maddesinin (A) fıkrasının (9) numaralı bendi kapsamında sayılan ve münhasıran sürekli olarak işlenmiş altın, gümüş alım-satımı ve imali ile iştigal eden mükelleflerin, mezkûr fıkranın (1) numaralı bendinde yer alan şartlara bakılmaksızın (her bir geçici vergi dönemi sonu itibarıyla) enflasyon düzeltmesi yapma zorunlulukları bulunduğundan, bu mükellefler, 31/12/2023 tarihli gelir tablosundaki brüt satışlar toplamı 50.000.000 TL’nin altında olsa dahi 2024 hesap döneminin ikinci ve üçüncü geçici vergi dönemleri dahil enflasyon düzeltmesi yapmaya devam edeceklerdir.</w:t>
            </w:r>
          </w:p>
          <w:p w14:paraId="74EF6CFE"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(4) Öte yandan 31/12/2023 tarihli gelir tablosundaki brüt satışlar toplamı 50.000.000 TL ve üzerinde olan mükellefler, 2024 hesap döneminin ikinci ve üçüncü geçici vergi dönemlerinde enflasyon düzeltmesi yapmaya devam edeceklerdir.</w:t>
            </w:r>
          </w:p>
          <w:p w14:paraId="20354B47"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Tebliğin yayımı tarihi itibarıyla 2024 hesap dönemi ikinci geçici vergi dönemine ilişkin beyannamelerini veren mükelleflerin durumu</w:t>
            </w:r>
          </w:p>
          <w:p w14:paraId="3795B823"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MADDE 4- </w:t>
            </w:r>
            <w:r w:rsidRPr="00C35CF5">
              <w:rPr>
                <w:rFonts w:ascii="Tahoma" w:hAnsi="Tahoma" w:cs="Tahoma"/>
                <w:sz w:val="20"/>
                <w:szCs w:val="20"/>
              </w:rPr>
              <w:t>(1) 3 üncü madde kapsamında enflasyon düzeltmesi yapmaması uygun bulunmakla birlikte, 2024 hesap döneminin ikinci geçici vergi dönemindeki mali tablolarını 213 sayılı Kanunun mükerrer 298 inci maddesi kapsamında enflasyon düzeltmesine tabi tutan ve enflasyon düzeltmesi sonrası oluşan kar veya zararlarını yasal defterlere kaydetmek suretiyle bu döneme ilişkin geçici vergi beyannamelerini Tebliğin yayımı tarihi itibarıyla vermiş olan mükelleflerin, söz konusu döneme ilişkin yasal kayıtlarını düzeltmelerine gerek bulunmamaktadır.</w:t>
            </w:r>
          </w:p>
          <w:p w14:paraId="05C5EC49"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(2) Bu durumdaki mükellefler, enflasyon düzeltmesinden kaynaklı kar veya zarar kayıtları ile enflasyon düzeltmesi yapılmamasına göre oluşan kar/zarar farkını, 2024 hesap dönemi ikinci geçici vergi dönemine ilişkin beyannamelerinde duruma göre "Kanunen Kabul Edilmeyen Giderler" veya "Zarar Olsa Dahi İndirilecek İstisna ve İndirimler Bölümünün Diğer İndirimler" kısmında göstermek suretiyle beyan edeceklerdir.</w:t>
            </w:r>
          </w:p>
          <w:p w14:paraId="150670A2" w14:textId="77777777" w:rsidR="00C35CF5" w:rsidRPr="00C35CF5" w:rsidRDefault="00C35CF5" w:rsidP="00C35CF5">
            <w:pPr>
              <w:jc w:val="both"/>
              <w:rPr>
                <w:rFonts w:ascii="Tahoma" w:hAnsi="Tahoma" w:cs="Tahoma"/>
                <w:sz w:val="20"/>
                <w:szCs w:val="20"/>
              </w:rPr>
            </w:pPr>
            <w:r w:rsidRPr="00C35CF5">
              <w:rPr>
                <w:rFonts w:ascii="Tahoma" w:hAnsi="Tahoma" w:cs="Tahoma"/>
                <w:sz w:val="20"/>
                <w:szCs w:val="20"/>
              </w:rPr>
              <w:t>(3) Bu madde kapsamındaki mükelleflerin, ikinci geçici vergi dönemine ilişkin beyannamelerini, ikinci fıkrada belirtilen esaslar dahilinde, enflasyon düzeltmesi öncesi oluşan kar veya zarara göre geçici vergi matrahlarını düzelterek vermeleri gerekmektedir. Düzeltme işlemlerinin beyanname verme süresi içinde yapılması durumunda herhangi bir vergi cezası veya gecikme faizi ödenmeyeceği tabiidir.</w:t>
            </w:r>
          </w:p>
          <w:p w14:paraId="331BAE99"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Yürürlük</w:t>
            </w:r>
          </w:p>
          <w:p w14:paraId="480602D1"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MADDE 5- </w:t>
            </w:r>
            <w:r w:rsidRPr="00C35CF5">
              <w:rPr>
                <w:rFonts w:ascii="Tahoma" w:hAnsi="Tahoma" w:cs="Tahoma"/>
                <w:sz w:val="20"/>
                <w:szCs w:val="20"/>
              </w:rPr>
              <w:t>(1) Bu Tebliğ yayımı tarihinde yürürlüğe girer.</w:t>
            </w:r>
          </w:p>
          <w:p w14:paraId="29A6E099"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Yürütme</w:t>
            </w:r>
          </w:p>
          <w:p w14:paraId="02030ACD" w14:textId="77777777" w:rsidR="00C35CF5" w:rsidRPr="00C35CF5" w:rsidRDefault="00C35CF5" w:rsidP="00C35CF5">
            <w:pPr>
              <w:jc w:val="both"/>
              <w:rPr>
                <w:rFonts w:ascii="Tahoma" w:hAnsi="Tahoma" w:cs="Tahoma"/>
                <w:sz w:val="20"/>
                <w:szCs w:val="20"/>
              </w:rPr>
            </w:pPr>
            <w:r w:rsidRPr="00C35CF5">
              <w:rPr>
                <w:rFonts w:ascii="Tahoma" w:hAnsi="Tahoma" w:cs="Tahoma"/>
                <w:b/>
                <w:bCs/>
                <w:sz w:val="20"/>
                <w:szCs w:val="20"/>
              </w:rPr>
              <w:t>MADDE 6- </w:t>
            </w:r>
            <w:r w:rsidRPr="00C35CF5">
              <w:rPr>
                <w:rFonts w:ascii="Tahoma" w:hAnsi="Tahoma" w:cs="Tahoma"/>
                <w:sz w:val="20"/>
                <w:szCs w:val="20"/>
              </w:rPr>
              <w:t>(1) Bu Tebliğ hükümlerini Hazine ve Maliye Bakanı yürütür.</w:t>
            </w:r>
          </w:p>
        </w:tc>
      </w:tr>
    </w:tbl>
    <w:p w14:paraId="66BA2F3A" w14:textId="77777777" w:rsidR="00C35CF5" w:rsidRDefault="00C35CF5" w:rsidP="00C35CF5">
      <w:pPr>
        <w:jc w:val="both"/>
      </w:pPr>
    </w:p>
    <w:sectPr w:rsidR="00C35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F5"/>
    <w:rsid w:val="000E49B4"/>
    <w:rsid w:val="0050386B"/>
    <w:rsid w:val="007B1044"/>
    <w:rsid w:val="00C35C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87F6"/>
  <w15:chartTrackingRefBased/>
  <w15:docId w15:val="{BC128A72-49B3-4092-AFA1-CAA078A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35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35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35CF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35CF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35CF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35CF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5CF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5CF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5CF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5CF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35CF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35CF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35CF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35CF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35CF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5CF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5CF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5CF5"/>
    <w:rPr>
      <w:rFonts w:eastAsiaTheme="majorEastAsia" w:cstheme="majorBidi"/>
      <w:color w:val="272727" w:themeColor="text1" w:themeTint="D8"/>
    </w:rPr>
  </w:style>
  <w:style w:type="paragraph" w:styleId="KonuBal">
    <w:name w:val="Title"/>
    <w:basedOn w:val="Normal"/>
    <w:next w:val="Normal"/>
    <w:link w:val="KonuBalChar"/>
    <w:uiPriority w:val="10"/>
    <w:qFormat/>
    <w:rsid w:val="00C35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5CF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5CF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5CF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35CF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35CF5"/>
    <w:rPr>
      <w:i/>
      <w:iCs/>
      <w:color w:val="404040" w:themeColor="text1" w:themeTint="BF"/>
    </w:rPr>
  </w:style>
  <w:style w:type="paragraph" w:styleId="ListeParagraf">
    <w:name w:val="List Paragraph"/>
    <w:basedOn w:val="Normal"/>
    <w:uiPriority w:val="34"/>
    <w:qFormat/>
    <w:rsid w:val="00C35CF5"/>
    <w:pPr>
      <w:ind w:left="720"/>
      <w:contextualSpacing/>
    </w:pPr>
  </w:style>
  <w:style w:type="character" w:styleId="GlVurgulama">
    <w:name w:val="Intense Emphasis"/>
    <w:basedOn w:val="VarsaylanParagrafYazTipi"/>
    <w:uiPriority w:val="21"/>
    <w:qFormat/>
    <w:rsid w:val="00C35CF5"/>
    <w:rPr>
      <w:i/>
      <w:iCs/>
      <w:color w:val="0F4761" w:themeColor="accent1" w:themeShade="BF"/>
    </w:rPr>
  </w:style>
  <w:style w:type="paragraph" w:styleId="GlAlnt">
    <w:name w:val="Intense Quote"/>
    <w:basedOn w:val="Normal"/>
    <w:next w:val="Normal"/>
    <w:link w:val="GlAlntChar"/>
    <w:uiPriority w:val="30"/>
    <w:qFormat/>
    <w:rsid w:val="00C35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35CF5"/>
    <w:rPr>
      <w:i/>
      <w:iCs/>
      <w:color w:val="0F4761" w:themeColor="accent1" w:themeShade="BF"/>
    </w:rPr>
  </w:style>
  <w:style w:type="character" w:styleId="GlBavuru">
    <w:name w:val="Intense Reference"/>
    <w:basedOn w:val="VarsaylanParagrafYazTipi"/>
    <w:uiPriority w:val="32"/>
    <w:qFormat/>
    <w:rsid w:val="00C35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487834">
      <w:bodyDiv w:val="1"/>
      <w:marLeft w:val="0"/>
      <w:marRight w:val="0"/>
      <w:marTop w:val="0"/>
      <w:marBottom w:val="0"/>
      <w:divBdr>
        <w:top w:val="none" w:sz="0" w:space="0" w:color="auto"/>
        <w:left w:val="none" w:sz="0" w:space="0" w:color="auto"/>
        <w:bottom w:val="none" w:sz="0" w:space="0" w:color="auto"/>
        <w:right w:val="none" w:sz="0" w:space="0" w:color="auto"/>
      </w:divBdr>
    </w:div>
    <w:div w:id="159393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2024-09-02T08:14:00Z</dcterms:created>
  <dcterms:modified xsi:type="dcterms:W3CDTF">2024-09-02T08:14:00Z</dcterms:modified>
</cp:coreProperties>
</file>